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When you start to talk about Lorde’s poem, the first sentence is unclear and I don’t know what exactly you mean by it. ‘what they hire to make them free’ is the part I don’t understand.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Apart from that your point in the first paragraph about Lorde’s poem is very clear and logical.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Several more sentences are grammatically incorrect/unclear, but that will fix itself once you work it out so don’t worry about that too much.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You could elaborate further on why the ‘waiting brother’ is a metaphor for and african-american. I don’t think you can just say that it is the case without any proof.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Why could the sentence in line 11 refer to ‘ladies first’? Might be I just don’t have the context of the poem which makes it unclear but (in which case don’t worry about it), but I don’t understand, so you should maybe elaborate further on this.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Why would you say ‘even though they don’t realise it’? You don’t give any proof for this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Apart from what I said above you make a clear point with the arguments that are made, but in some cases you do not provide any proof for these arguments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I’m not sure you need as much time to explain about letters. This is time you can spend better on giving evidence for arguments, for example.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rtl w:val="0"/>
        </w:rPr>
        <w:t xml:space="preserve">part</w:t>
      </w:r>
      <w:r w:rsidDel="00000000" w:rsidR="00000000" w:rsidRPr="00000000">
        <w:rPr>
          <w:rtl w:val="0"/>
        </w:rPr>
        <w:t xml:space="preserve"> of the IO about Austen’s letters are very good and clear. Especially once you get to Isabella Thorpe’s characterisation it gets really interesting and you make good points.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Clear conclusion and good summary of the points you made before.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